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3742F6C" w:rsidR="002855FA" w:rsidRPr="00017045" w:rsidRDefault="0023460E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D34F93">
              <w:rPr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marec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1C022287" w:rsidR="00AD3CCC" w:rsidRPr="00017045" w:rsidRDefault="0023460E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Ďalšie nástroje m</w:t>
            </w:r>
            <w:r w:rsidR="00AD3CCC">
              <w:rPr>
                <w:color w:val="000000"/>
                <w:szCs w:val="20"/>
              </w:rPr>
              <w:t>ediáln</w:t>
            </w:r>
            <w:r>
              <w:rPr>
                <w:color w:val="000000"/>
                <w:szCs w:val="20"/>
              </w:rPr>
              <w:t>ej</w:t>
            </w:r>
            <w:r w:rsidR="00AD3CCC">
              <w:rPr>
                <w:color w:val="000000"/>
                <w:szCs w:val="20"/>
              </w:rPr>
              <w:t xml:space="preserve"> gramotnos</w:t>
            </w:r>
            <w:r>
              <w:rPr>
                <w:color w:val="000000"/>
                <w:szCs w:val="20"/>
              </w:rPr>
              <w:t>ti</w:t>
            </w:r>
            <w:r w:rsidR="008E3B57">
              <w:rPr>
                <w:color w:val="000000"/>
                <w:szCs w:val="20"/>
              </w:rPr>
              <w:t xml:space="preserve"> – spätn</w:t>
            </w:r>
            <w:r w:rsidR="00A5137B">
              <w:rPr>
                <w:color w:val="000000"/>
                <w:szCs w:val="20"/>
              </w:rPr>
              <w:t xml:space="preserve">á </w:t>
            </w:r>
            <w:r w:rsidR="008E3B57">
              <w:rPr>
                <w:color w:val="000000"/>
                <w:szCs w:val="20"/>
              </w:rPr>
              <w:t>väzba</w:t>
            </w:r>
            <w:r>
              <w:rPr>
                <w:color w:val="000000"/>
                <w:szCs w:val="20"/>
              </w:rPr>
              <w:t>,</w:t>
            </w:r>
            <w:r w:rsidR="008E3B57">
              <w:rPr>
                <w:color w:val="000000"/>
                <w:szCs w:val="20"/>
              </w:rPr>
              <w:t> reflexia</w:t>
            </w:r>
            <w:r w:rsidR="00AD3CCC">
              <w:rPr>
                <w:color w:val="000000"/>
                <w:szCs w:val="20"/>
              </w:rPr>
              <w:t>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1C5DC1B0" w:rsidR="00B64CA6" w:rsidRDefault="00AD3CCC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Oboznámenie sa s</w:t>
            </w:r>
            <w:r w:rsidR="00957CF2">
              <w:t> niektorými nástrojmi</w:t>
            </w:r>
            <w:r w:rsidR="00353972">
              <w:t xml:space="preserve"> </w:t>
            </w:r>
            <w:r>
              <w:t>mediáln</w:t>
            </w:r>
            <w:r w:rsidR="00957CF2">
              <w:t>ej</w:t>
            </w:r>
            <w:r>
              <w:t xml:space="preserve"> gramotnos</w:t>
            </w:r>
            <w:r w:rsidR="00957CF2">
              <w:t>ti</w:t>
            </w:r>
            <w:r w:rsidR="0023460E">
              <w:t xml:space="preserve">, napr. Aplikácia </w:t>
            </w:r>
            <w:proofErr w:type="spellStart"/>
            <w:r w:rsidR="0023460E">
              <w:t>facticious</w:t>
            </w:r>
            <w:proofErr w:type="spellEnd"/>
            <w:r w:rsidR="0023460E">
              <w:t xml:space="preserve">, </w:t>
            </w:r>
            <w:proofErr w:type="spellStart"/>
            <w:r w:rsidR="0023460E">
              <w:t>Newseum</w:t>
            </w:r>
            <w:proofErr w:type="spellEnd"/>
            <w:r w:rsidR="00957CF2">
              <w:t xml:space="preserve"> a spôsobmi ako ich </w:t>
            </w:r>
            <w:r w:rsidR="008E3B57">
              <w:t>využiť vo vyučovacom procese.</w:t>
            </w:r>
          </w:p>
          <w:p w14:paraId="5BD4FAAB" w14:textId="334FC8BD" w:rsidR="00B64CA6" w:rsidRPr="000B626E" w:rsidRDefault="00957CF2" w:rsidP="00AD3CCC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Skúsili sme ako pracujú a fungujú niektoré nástroje mediálnej gramotnosti.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22FAFA05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 xml:space="preserve">sa oboznámili s niektorými jednoduchými nástrojmi na podporu mediálnej gramotnosti, </w:t>
            </w:r>
            <w:r>
              <w:t>diskutova</w:t>
            </w:r>
            <w:r w:rsidR="00AD3CCC">
              <w:t>li</w:t>
            </w:r>
            <w:r>
              <w:t xml:space="preserve"> </w:t>
            </w:r>
            <w:r w:rsidR="00957CF2">
              <w:t>a overili niektoré z nich.</w:t>
            </w:r>
          </w:p>
          <w:p w14:paraId="52B18172" w14:textId="7B1F5857" w:rsidR="002F056B" w:rsidRPr="00B96EA2" w:rsidRDefault="007A1098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 xml:space="preserve">sa pokúsime </w:t>
            </w:r>
            <w:r w:rsidR="00957CF2">
              <w:t xml:space="preserve">pracovať s nástrojmi mediálnej gramotnosti v triede 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36E6DE92" w:rsidR="009B3ED0" w:rsidRDefault="0023460E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6FA9BCAE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3460E">
              <w:rPr>
                <w:sz w:val="18"/>
              </w:rPr>
              <w:t>15</w:t>
            </w:r>
            <w:r w:rsidR="00D34F93">
              <w:rPr>
                <w:sz w:val="18"/>
              </w:rPr>
              <w:t>.</w:t>
            </w:r>
            <w:r w:rsidR="0023460E">
              <w:rPr>
                <w:sz w:val="18"/>
              </w:rPr>
              <w:t>3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55FA"/>
    <w:rsid w:val="002F056B"/>
    <w:rsid w:val="00353972"/>
    <w:rsid w:val="004371EB"/>
    <w:rsid w:val="00453ABB"/>
    <w:rsid w:val="004812F5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2021-04-06T17:18:00Z</cp:lastPrinted>
  <dcterms:created xsi:type="dcterms:W3CDTF">2021-04-06T17:20:00Z</dcterms:created>
  <dcterms:modified xsi:type="dcterms:W3CDTF">2021-04-06T17:20:00Z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